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0"/>
        </w:tabs>
        <w:jc w:val="center"/>
        <w:rPr>
          <w:rFonts w:ascii="Calibri" w:hAnsi="Calibri" w:cs="Calibri"/>
          <w:b/>
        </w:rPr>
      </w:pPr>
      <w:r>
        <w:rPr>
          <w:rFonts w:ascii="Calibri" w:hAnsi="Calibri" w:cs="Calibri"/>
          <w:b/>
        </w:rPr>
        <w:t>GOVERNMENT OF MANIPUR</w:t>
      </w:r>
    </w:p>
    <w:p>
      <w:pPr>
        <w:jc w:val="center"/>
        <w:rPr>
          <w:rFonts w:ascii="Calibri" w:hAnsi="Calibri" w:cs="Calibri"/>
          <w:b/>
        </w:rPr>
      </w:pPr>
      <w:r>
        <w:rPr>
          <w:rFonts w:ascii="Calibri" w:hAnsi="Calibri" w:cs="Calibri"/>
          <w:b/>
        </w:rPr>
        <w:t>OFFICE OF THE DIVISIONAL FOREST OFFICER</w:t>
      </w:r>
    </w:p>
    <w:p>
      <w:pPr>
        <w:jc w:val="center"/>
        <w:rPr>
          <w:rFonts w:ascii="Calibri" w:hAnsi="Calibri" w:cs="Calibri"/>
          <w:b/>
        </w:rPr>
      </w:pPr>
      <w:r>
        <w:rPr>
          <w:rFonts w:ascii="Calibri" w:hAnsi="Calibri" w:cs="Calibri"/>
          <w:b/>
        </w:rPr>
        <w:t>THOUBAL FOREST DIVISION</w:t>
      </w:r>
    </w:p>
    <w:p>
      <w:pPr>
        <w:rPr>
          <w:rFonts w:ascii="Calibri" w:hAnsi="Calibri" w:cs="Calibri"/>
          <w:b/>
        </w:rPr>
      </w:pPr>
    </w:p>
    <w:p>
      <w:pPr>
        <w:jc w:val="center"/>
        <w:rPr>
          <w:rFonts w:ascii="Calibri" w:hAnsi="Calibri" w:cs="Calibri"/>
          <w:u w:val="single"/>
        </w:rPr>
      </w:pPr>
      <w:r>
        <w:rPr>
          <w:rFonts w:ascii="Calibri" w:hAnsi="Calibri" w:cs="Calibri"/>
          <w:u w:val="single"/>
        </w:rPr>
        <w:t>AUCTION NOTICE</w:t>
      </w:r>
    </w:p>
    <w:p>
      <w:pPr>
        <w:jc w:val="center"/>
        <w:rPr>
          <w:rFonts w:hint="default" w:ascii="Calibri" w:hAnsi="Calibri" w:cs="Calibri"/>
          <w:i/>
          <w:lang w:val="en-IN"/>
        </w:rPr>
      </w:pPr>
      <w:r>
        <w:rPr>
          <w:rFonts w:ascii="Calibri" w:hAnsi="Calibri" w:cs="Calibri"/>
          <w:i/>
        </w:rPr>
        <w:t xml:space="preserve">Thoubal, the </w:t>
      </w:r>
      <w:r>
        <w:rPr>
          <w:rFonts w:hint="default" w:ascii="Calibri" w:hAnsi="Calibri" w:cs="Calibri"/>
          <w:i/>
          <w:lang w:val="en-IN"/>
        </w:rPr>
        <w:t>25</w:t>
      </w:r>
      <w:r>
        <w:rPr>
          <w:rFonts w:hint="default" w:ascii="Calibri" w:hAnsi="Calibri" w:cs="Calibri"/>
          <w:i/>
          <w:vertAlign w:val="superscript"/>
          <w:lang w:val="en-IN"/>
        </w:rPr>
        <w:t>th</w:t>
      </w:r>
      <w:r>
        <w:rPr>
          <w:rFonts w:hint="default" w:ascii="Calibri" w:hAnsi="Calibri" w:cs="Calibri"/>
          <w:i/>
          <w:lang w:val="en-IN"/>
        </w:rPr>
        <w:t xml:space="preserve"> November</w:t>
      </w:r>
      <w:r>
        <w:rPr>
          <w:rFonts w:ascii="Calibri" w:hAnsi="Calibri" w:cs="Calibri"/>
          <w:i/>
        </w:rPr>
        <w:t>, 202</w:t>
      </w:r>
      <w:r>
        <w:rPr>
          <w:rFonts w:hint="default" w:ascii="Calibri" w:hAnsi="Calibri" w:cs="Calibri"/>
          <w:i/>
          <w:lang w:val="en-IN"/>
        </w:rPr>
        <w:t>2</w:t>
      </w:r>
    </w:p>
    <w:p>
      <w:pPr>
        <w:rPr>
          <w:rFonts w:ascii="Calibri" w:hAnsi="Calibri" w:cs="Calibri"/>
        </w:rPr>
      </w:pPr>
    </w:p>
    <w:p>
      <w:pPr>
        <w:jc w:val="both"/>
        <w:rPr>
          <w:rFonts w:hint="default" w:ascii="Calibri" w:hAnsi="Calibri" w:cs="Calibri"/>
          <w:lang w:val="en-IN"/>
        </w:rPr>
      </w:pPr>
      <w:r>
        <w:rPr>
          <w:rFonts w:ascii="Calibri" w:hAnsi="Calibri" w:cs="Calibri"/>
        </w:rPr>
        <w:t xml:space="preserve">No.4/31/2020/DFO/TBL: It is hereby notified for information to all the registered Forest Contractors/HPC cleared Wood Based Units situated within the </w:t>
      </w:r>
      <w:r>
        <w:rPr>
          <w:rFonts w:hint="default" w:ascii="Calibri" w:hAnsi="Calibri" w:cs="Calibri"/>
          <w:lang w:val="en-IN"/>
        </w:rPr>
        <w:t>legalized</w:t>
      </w:r>
      <w:r>
        <w:rPr>
          <w:rFonts w:ascii="Calibri" w:hAnsi="Calibri" w:cs="Calibri"/>
        </w:rPr>
        <w:t xml:space="preserve"> Industrial Estate, general public and individuals that </w:t>
      </w:r>
      <w:r>
        <w:rPr>
          <w:rFonts w:hint="default" w:ascii="Calibri" w:hAnsi="Calibri" w:cs="Calibri"/>
          <w:lang w:val="en-IN"/>
        </w:rPr>
        <w:t xml:space="preserve">Khangra,Talhao ,Tal and Leihao logs having total volume of 813.13 cu.Ft seized under offence no. 1 to 16 of 2020 of Yairipok Beat Office and confiscated vide order no. 4/31/2020/DFO/TBL dated 22/2/2021 </w:t>
      </w:r>
      <w:r>
        <w:rPr>
          <w:rFonts w:ascii="Calibri" w:hAnsi="Calibri" w:cs="Calibri"/>
        </w:rPr>
        <w:t>shall be sold</w:t>
      </w:r>
      <w:r>
        <w:rPr>
          <w:rFonts w:hint="default" w:ascii="Calibri" w:hAnsi="Calibri" w:cs="Calibri"/>
          <w:lang w:val="en-IN"/>
        </w:rPr>
        <w:t xml:space="preserve"> out</w:t>
      </w:r>
      <w:r>
        <w:rPr>
          <w:rFonts w:ascii="Calibri" w:hAnsi="Calibri" w:cs="Calibri"/>
        </w:rPr>
        <w:t xml:space="preserve"> by way of e-auction through Forest Department’s portal </w:t>
      </w:r>
      <w:r>
        <w:rPr>
          <w:rFonts w:ascii="Calibri" w:hAnsi="Calibri" w:cs="Calibri"/>
        </w:rPr>
        <w:fldChar w:fldCharType="begin"/>
      </w:r>
      <w:r>
        <w:rPr>
          <w:rFonts w:ascii="Calibri" w:hAnsi="Calibri" w:cs="Calibri"/>
        </w:rPr>
        <w:instrText xml:space="preserve"> HYPERLINK "http://www.forest.manipurforest.gov.in" </w:instrText>
      </w:r>
      <w:r>
        <w:rPr>
          <w:rFonts w:ascii="Calibri" w:hAnsi="Calibri" w:cs="Calibri"/>
        </w:rPr>
        <w:fldChar w:fldCharType="separate"/>
      </w:r>
      <w:r>
        <w:rPr>
          <w:rStyle w:val="4"/>
          <w:rFonts w:ascii="Calibri" w:hAnsi="Calibri" w:cs="Calibri"/>
        </w:rPr>
        <w:t>www.forest.manipurforest.gov.in</w:t>
      </w:r>
      <w:r>
        <w:rPr>
          <w:rFonts w:ascii="Calibri" w:hAnsi="Calibri" w:cs="Calibri"/>
        </w:rPr>
        <w:fldChar w:fldCharType="end"/>
      </w:r>
      <w:r>
        <w:rPr>
          <w:rFonts w:hint="default" w:ascii="Calibri" w:hAnsi="Calibri" w:cs="Calibri"/>
          <w:lang w:val="en-IN"/>
        </w:rPr>
        <w:t xml:space="preserve"> </w:t>
      </w:r>
      <w:r>
        <w:rPr>
          <w:rFonts w:ascii="Calibri" w:hAnsi="Calibri" w:cs="Calibri"/>
        </w:rPr>
        <w:t>on</w:t>
      </w:r>
      <w:r>
        <w:rPr>
          <w:rFonts w:hint="default" w:ascii="Calibri" w:hAnsi="Calibri" w:cs="Calibri"/>
          <w:lang w:val="en-IN"/>
        </w:rPr>
        <w:t xml:space="preserve"> 1</w:t>
      </w:r>
      <w:r>
        <w:rPr>
          <w:rFonts w:hint="default" w:ascii="Calibri" w:hAnsi="Calibri" w:cs="Calibri"/>
          <w:vertAlign w:val="superscript"/>
          <w:lang w:val="en-IN"/>
        </w:rPr>
        <w:t>st</w:t>
      </w:r>
      <w:r>
        <w:rPr>
          <w:rFonts w:hint="default" w:ascii="Calibri" w:hAnsi="Calibri" w:cs="Calibri"/>
          <w:lang w:val="en-IN"/>
        </w:rPr>
        <w:t xml:space="preserve"> </w:t>
      </w:r>
      <w:r>
        <w:rPr>
          <w:rFonts w:hint="default" w:ascii="Calibri" w:hAnsi="Calibri" w:cs="Calibri"/>
          <w:vertAlign w:val="superscript"/>
          <w:lang w:val="en-IN"/>
        </w:rPr>
        <w:t xml:space="preserve"> </w:t>
      </w:r>
      <w:r>
        <w:rPr>
          <w:rFonts w:hint="default" w:ascii="Calibri" w:hAnsi="Calibri" w:cs="Calibri"/>
          <w:vertAlign w:val="baseline"/>
          <w:lang w:val="en-IN"/>
        </w:rPr>
        <w:t>December</w:t>
      </w:r>
      <w:r>
        <w:rPr>
          <w:rFonts w:hint="default" w:ascii="Calibri" w:hAnsi="Calibri" w:cs="Calibri"/>
          <w:lang w:val="en-IN"/>
        </w:rPr>
        <w:t xml:space="preserve"> </w:t>
      </w:r>
      <w:r>
        <w:rPr>
          <w:rFonts w:ascii="Calibri" w:hAnsi="Calibri" w:cs="Calibri"/>
        </w:rPr>
        <w:t>202</w:t>
      </w:r>
      <w:r>
        <w:rPr>
          <w:rFonts w:hint="default" w:ascii="Calibri" w:hAnsi="Calibri" w:cs="Calibri"/>
          <w:lang w:val="en-IN"/>
        </w:rPr>
        <w:t>2.</w:t>
      </w:r>
    </w:p>
    <w:p>
      <w:pPr>
        <w:jc w:val="both"/>
        <w:rPr>
          <w:rFonts w:hint="default" w:ascii="Calibri" w:hAnsi="Calibri" w:cs="Calibri"/>
          <w:lang w:val="en-IN"/>
        </w:rPr>
      </w:pPr>
    </w:p>
    <w:p>
      <w:pPr>
        <w:jc w:val="both"/>
        <w:rPr>
          <w:rFonts w:ascii="Calibri" w:hAnsi="Calibri" w:cs="Calibri"/>
        </w:rPr>
      </w:pPr>
      <w:r>
        <w:rPr>
          <w:rFonts w:ascii="Calibri" w:hAnsi="Calibri" w:cs="Calibri"/>
        </w:rPr>
        <w:tab/>
      </w:r>
      <w:r>
        <w:rPr>
          <w:rFonts w:ascii="Calibri" w:hAnsi="Calibri" w:cs="Calibri"/>
        </w:rPr>
        <w:t xml:space="preserve">The details including the term and conditions of the auction sale may be obtained from the portal www.forest.manipurforest.gov.in or the Office  of the Divisional Forest Officer or the Office of the Range Forest Officer, </w:t>
      </w:r>
      <w:r>
        <w:rPr>
          <w:rFonts w:hint="default" w:ascii="Calibri" w:hAnsi="Calibri" w:cs="Calibri"/>
          <w:lang w:val="en-IN"/>
        </w:rPr>
        <w:t>Thoubal</w:t>
      </w:r>
      <w:r>
        <w:rPr>
          <w:rFonts w:ascii="Calibri" w:hAnsi="Calibri" w:cs="Calibri"/>
        </w:rPr>
        <w:t xml:space="preserve"> Range or Beat Office, </w:t>
      </w:r>
      <w:r>
        <w:rPr>
          <w:rFonts w:hint="default" w:ascii="Calibri" w:hAnsi="Calibri" w:cs="Calibri"/>
          <w:lang w:val="en-IN"/>
        </w:rPr>
        <w:t xml:space="preserve">Yairipok </w:t>
      </w:r>
      <w:r>
        <w:rPr>
          <w:rFonts w:ascii="Calibri" w:hAnsi="Calibri" w:cs="Calibri"/>
        </w:rPr>
        <w:t xml:space="preserve">during Office hours on working days.                                                               </w:t>
      </w:r>
    </w:p>
    <w:p>
      <w:pPr>
        <w:rPr>
          <w:rFonts w:ascii="Calibri" w:hAnsi="Calibri" w:cs="Calibri"/>
        </w:rPr>
      </w:pPr>
      <w:r>
        <w:rPr>
          <w:rFonts w:ascii="Calibri" w:hAnsi="Calibri" w:cs="Calibri"/>
        </w:rPr>
        <w:t xml:space="preserve">                                                                                                                                        Sd/-</w:t>
      </w:r>
    </w:p>
    <w:p>
      <w:pPr>
        <w:tabs>
          <w:tab w:val="left" w:pos="5220"/>
        </w:tabs>
        <w:ind w:firstLine="4500"/>
        <w:jc w:val="center"/>
        <w:rPr>
          <w:rFonts w:ascii="Calibri" w:hAnsi="Calibri" w:cs="Calibri"/>
        </w:rPr>
      </w:pPr>
      <w:r>
        <w:rPr>
          <w:rFonts w:ascii="Calibri" w:hAnsi="Calibri" w:cs="Calibri"/>
        </w:rPr>
        <w:t xml:space="preserve">                 (</w:t>
      </w:r>
      <w:r>
        <w:rPr>
          <w:rFonts w:hint="default" w:ascii="Calibri" w:hAnsi="Calibri" w:cs="Calibri"/>
          <w:lang w:val="en-IN"/>
        </w:rPr>
        <w:t>Th. Lokendro SIngh</w:t>
      </w:r>
      <w:r>
        <w:rPr>
          <w:rFonts w:ascii="Calibri" w:hAnsi="Calibri" w:cs="Calibri"/>
        </w:rPr>
        <w:t>)</w:t>
      </w:r>
      <w:r>
        <w:rPr>
          <w:rFonts w:hint="default" w:ascii="Calibri" w:hAnsi="Calibri" w:cs="Calibri"/>
          <w:lang w:val="en-IN"/>
        </w:rPr>
        <w:t xml:space="preserve">                      </w:t>
      </w:r>
      <w:r>
        <w:rPr>
          <w:rFonts w:hint="default" w:ascii="Calibri" w:hAnsi="Calibri" w:cs="Calibri"/>
          <w:lang w:val="en-IN"/>
        </w:rPr>
        <w:tab/>
      </w:r>
      <w:r>
        <w:rPr>
          <w:rFonts w:hint="default" w:ascii="Calibri" w:hAnsi="Calibri" w:cs="Calibri"/>
          <w:lang w:val="en-IN"/>
        </w:rPr>
        <w:t xml:space="preserve">Divisional </w:t>
      </w:r>
      <w:r>
        <w:rPr>
          <w:rFonts w:ascii="Calibri" w:hAnsi="Calibri" w:cs="Calibri"/>
        </w:rPr>
        <w:t>Forest Officer</w:t>
      </w:r>
    </w:p>
    <w:p>
      <w:pPr>
        <w:tabs>
          <w:tab w:val="left" w:pos="5220"/>
        </w:tabs>
        <w:ind w:firstLine="3960"/>
        <w:jc w:val="center"/>
        <w:rPr>
          <w:rFonts w:hint="default" w:ascii="Calibri" w:hAnsi="Calibri" w:cs="Calibri"/>
          <w:lang w:val="en-IN"/>
        </w:rPr>
      </w:pPr>
      <w:r>
        <w:rPr>
          <w:rFonts w:hint="default" w:ascii="Calibri" w:hAnsi="Calibri" w:cs="Calibri"/>
          <w:lang w:val="en-IN"/>
        </w:rPr>
        <w:t xml:space="preserve">                       </w:t>
      </w:r>
      <w:r>
        <w:rPr>
          <w:rFonts w:ascii="Calibri" w:hAnsi="Calibri" w:cs="Calibri"/>
        </w:rPr>
        <w:t>Thoubal Forest Division</w:t>
      </w:r>
      <w:r>
        <w:rPr>
          <w:rFonts w:hint="default" w:ascii="Calibri" w:hAnsi="Calibri" w:cs="Calibri"/>
          <w:lang w:val="en-IN"/>
        </w:rPr>
        <w:t>,Thoubal</w:t>
      </w:r>
    </w:p>
    <w:p>
      <w:pPr>
        <w:rPr>
          <w:rFonts w:ascii="Calibri" w:hAnsi="Calibri" w:cs="Calibri"/>
        </w:rPr>
      </w:pPr>
    </w:p>
    <w:p>
      <w:pPr>
        <w:rPr>
          <w:rFonts w:hint="default" w:ascii="Calibri" w:hAnsi="Calibri" w:cs="Calibri"/>
          <w:i/>
          <w:lang w:val="en-IN"/>
        </w:rPr>
      </w:pPr>
      <w:r>
        <w:rPr>
          <w:rFonts w:ascii="Calibri" w:hAnsi="Calibri" w:cs="Calibri"/>
        </w:rPr>
        <w:t>Memo. No.4/31/2020/DFO/TBL:</w:t>
      </w:r>
      <w:r>
        <w:rPr>
          <w:rFonts w:ascii="Calibri" w:hAnsi="Calibri" w:cs="Calibri"/>
        </w:rPr>
        <w:tab/>
      </w:r>
      <w:r>
        <w:rPr>
          <w:rFonts w:ascii="Calibri" w:hAnsi="Calibri" w:cs="Calibri"/>
        </w:rPr>
        <w:t xml:space="preserve">                     </w:t>
      </w:r>
      <w:r>
        <w:rPr>
          <w:rFonts w:ascii="Calibri" w:hAnsi="Calibri" w:cs="Calibri"/>
        </w:rPr>
        <w:tab/>
      </w:r>
      <w:r>
        <w:rPr>
          <w:rFonts w:ascii="Calibri" w:hAnsi="Calibri" w:cs="Calibri"/>
        </w:rPr>
        <w:t xml:space="preserve">          Thoubal, the </w:t>
      </w:r>
      <w:r>
        <w:rPr>
          <w:rFonts w:hint="default" w:ascii="Calibri" w:hAnsi="Calibri" w:cs="Calibri"/>
          <w:lang w:val="en-IN"/>
        </w:rPr>
        <w:t>25</w:t>
      </w:r>
      <w:r>
        <w:rPr>
          <w:rFonts w:hint="default" w:ascii="Calibri" w:hAnsi="Calibri" w:cs="Calibri"/>
          <w:vertAlign w:val="superscript"/>
          <w:lang w:val="en-IN"/>
        </w:rPr>
        <w:t>th</w:t>
      </w:r>
      <w:r>
        <w:rPr>
          <w:rFonts w:hint="default" w:ascii="Calibri" w:hAnsi="Calibri" w:cs="Calibri"/>
          <w:lang w:val="en-IN"/>
        </w:rPr>
        <w:t xml:space="preserve"> November</w:t>
      </w:r>
      <w:r>
        <w:rPr>
          <w:rFonts w:ascii="Calibri" w:hAnsi="Calibri" w:cs="Calibri"/>
        </w:rPr>
        <w:t>. 202</w:t>
      </w:r>
      <w:r>
        <w:rPr>
          <w:rFonts w:hint="default" w:ascii="Calibri" w:hAnsi="Calibri" w:cs="Calibri"/>
          <w:lang w:val="en-IN"/>
        </w:rPr>
        <w:t>2</w:t>
      </w:r>
    </w:p>
    <w:p>
      <w:pPr>
        <w:tabs>
          <w:tab w:val="left" w:pos="5220"/>
        </w:tabs>
        <w:jc w:val="both"/>
        <w:rPr>
          <w:rFonts w:ascii="Calibri" w:hAnsi="Calibri" w:cs="Calibri"/>
        </w:rPr>
      </w:pPr>
      <w:r>
        <w:rPr>
          <w:rFonts w:ascii="Calibri" w:hAnsi="Calibri" w:cs="Calibri"/>
        </w:rPr>
        <w:t>Copy to:</w:t>
      </w:r>
    </w:p>
    <w:p>
      <w:pPr>
        <w:numPr>
          <w:ilvl w:val="0"/>
          <w:numId w:val="1"/>
        </w:numPr>
        <w:tabs>
          <w:tab w:val="left" w:pos="900"/>
        </w:tabs>
        <w:jc w:val="both"/>
        <w:rPr>
          <w:rFonts w:ascii="Calibri" w:hAnsi="Calibri" w:cs="Calibri"/>
        </w:rPr>
      </w:pPr>
      <w:r>
        <w:rPr>
          <w:rFonts w:ascii="Calibri" w:hAnsi="Calibri" w:cs="Calibri"/>
        </w:rPr>
        <w:t>The Principal Chief Conservator of Forests &amp; HoFF, Govt. of Manipur</w:t>
      </w:r>
    </w:p>
    <w:p>
      <w:pPr>
        <w:numPr>
          <w:ilvl w:val="0"/>
          <w:numId w:val="1"/>
        </w:numPr>
        <w:tabs>
          <w:tab w:val="left" w:pos="900"/>
        </w:tabs>
        <w:jc w:val="both"/>
        <w:rPr>
          <w:rFonts w:ascii="Calibri" w:hAnsi="Calibri" w:cs="Calibri"/>
        </w:rPr>
      </w:pPr>
      <w:r>
        <w:rPr>
          <w:rFonts w:ascii="Calibri" w:hAnsi="Calibri" w:cs="Calibri"/>
        </w:rPr>
        <w:t>The Chief Conservator of Forests, TP-I, Govt. of Manipur</w:t>
      </w:r>
    </w:p>
    <w:p>
      <w:pPr>
        <w:numPr>
          <w:ilvl w:val="0"/>
          <w:numId w:val="1"/>
        </w:numPr>
        <w:tabs>
          <w:tab w:val="left" w:pos="900"/>
        </w:tabs>
        <w:jc w:val="both"/>
        <w:rPr>
          <w:rFonts w:ascii="Calibri" w:hAnsi="Calibri" w:cs="Calibri"/>
        </w:rPr>
      </w:pPr>
      <w:r>
        <w:rPr>
          <w:rFonts w:ascii="Calibri" w:hAnsi="Calibri" w:cs="Calibri"/>
        </w:rPr>
        <w:t>The Conservator of Forests, Central Circle, Govt. of Manipur.</w:t>
      </w:r>
    </w:p>
    <w:p>
      <w:pPr>
        <w:numPr>
          <w:ilvl w:val="0"/>
          <w:numId w:val="1"/>
        </w:numPr>
        <w:tabs>
          <w:tab w:val="left" w:pos="900"/>
        </w:tabs>
        <w:jc w:val="both"/>
        <w:rPr>
          <w:rFonts w:ascii="Calibri" w:hAnsi="Calibri" w:cs="Calibri"/>
        </w:rPr>
      </w:pPr>
      <w:r>
        <w:rPr>
          <w:rFonts w:ascii="Calibri" w:hAnsi="Calibri" w:cs="Calibri"/>
        </w:rPr>
        <w:t xml:space="preserve">The Range Forest Officer, </w:t>
      </w:r>
      <w:r>
        <w:rPr>
          <w:rFonts w:hint="default" w:ascii="Calibri" w:hAnsi="Calibri" w:cs="Calibri"/>
          <w:lang w:val="en-IN"/>
        </w:rPr>
        <w:t xml:space="preserve">Thoubal </w:t>
      </w:r>
      <w:r>
        <w:rPr>
          <w:rFonts w:ascii="Calibri" w:hAnsi="Calibri" w:cs="Calibri"/>
        </w:rPr>
        <w:t>for necessary action.</w:t>
      </w:r>
    </w:p>
    <w:p>
      <w:pPr>
        <w:numPr>
          <w:ilvl w:val="0"/>
          <w:numId w:val="1"/>
        </w:numPr>
        <w:tabs>
          <w:tab w:val="left" w:pos="900"/>
        </w:tabs>
        <w:jc w:val="both"/>
        <w:rPr>
          <w:rFonts w:ascii="Calibri" w:hAnsi="Calibri" w:cs="Calibri"/>
        </w:rPr>
      </w:pPr>
      <w:r>
        <w:rPr>
          <w:rFonts w:ascii="Calibri" w:hAnsi="Calibri" w:cs="Calibri"/>
        </w:rPr>
        <w:t>Notice Board, DFO/Thoubal</w:t>
      </w:r>
    </w:p>
    <w:p>
      <w:pPr>
        <w:numPr>
          <w:ilvl w:val="0"/>
          <w:numId w:val="1"/>
        </w:numPr>
        <w:tabs>
          <w:tab w:val="left" w:pos="900"/>
        </w:tabs>
        <w:jc w:val="both"/>
        <w:rPr>
          <w:rFonts w:ascii="Calibri" w:hAnsi="Calibri" w:cs="Calibri"/>
        </w:rPr>
      </w:pPr>
      <w:r>
        <w:rPr>
          <w:rFonts w:ascii="Calibri" w:hAnsi="Calibri" w:cs="Calibri"/>
        </w:rPr>
        <w:t>Notice Board</w:t>
      </w:r>
      <w:r>
        <w:rPr>
          <w:rFonts w:hint="default" w:ascii="Calibri" w:hAnsi="Calibri" w:cs="Calibri"/>
          <w:lang w:val="en-IN"/>
        </w:rPr>
        <w:t xml:space="preserve"> </w:t>
      </w:r>
      <w:r>
        <w:rPr>
          <w:rFonts w:ascii="Calibri" w:hAnsi="Calibri" w:cs="Calibri"/>
        </w:rPr>
        <w:t>BO/</w:t>
      </w:r>
      <w:r>
        <w:rPr>
          <w:rFonts w:hint="default" w:ascii="Calibri" w:hAnsi="Calibri" w:cs="Calibri"/>
          <w:lang w:val="en-IN"/>
        </w:rPr>
        <w:t xml:space="preserve"> Yairipok Beat Office</w:t>
      </w:r>
      <w:r>
        <w:rPr>
          <w:rFonts w:ascii="Calibri" w:hAnsi="Calibri" w:cs="Calibri"/>
        </w:rPr>
        <w:t>.</w:t>
      </w:r>
    </w:p>
    <w:p>
      <w:pPr>
        <w:tabs>
          <w:tab w:val="left" w:pos="5220"/>
        </w:tabs>
        <w:ind w:firstLine="3960"/>
        <w:jc w:val="both"/>
        <w:rPr>
          <w:rFonts w:ascii="Calibri" w:hAnsi="Calibri" w:cs="Calibri"/>
        </w:rPr>
      </w:pPr>
    </w:p>
    <w:p>
      <w:pPr>
        <w:tabs>
          <w:tab w:val="left" w:pos="5220"/>
        </w:tabs>
        <w:ind w:firstLine="3960"/>
        <w:jc w:val="both"/>
        <w:rPr>
          <w:rFonts w:ascii="Calibri" w:hAnsi="Calibri" w:cs="Calibri"/>
        </w:rPr>
      </w:pPr>
    </w:p>
    <w:p>
      <w:pPr>
        <w:tabs>
          <w:tab w:val="left" w:pos="5220"/>
        </w:tabs>
        <w:ind w:firstLine="5040"/>
        <w:jc w:val="center"/>
        <w:rPr>
          <w:rFonts w:ascii="Calibri" w:hAnsi="Calibri" w:cs="Calibri"/>
        </w:rPr>
      </w:pPr>
      <w:r>
        <w:rPr>
          <w:rFonts w:ascii="Calibri" w:hAnsi="Calibri" w:cs="Calibri"/>
        </w:rPr>
        <w:t xml:space="preserve">                </w:t>
      </w:r>
    </w:p>
    <w:p>
      <w:pPr>
        <w:tabs>
          <w:tab w:val="left" w:pos="5220"/>
        </w:tabs>
        <w:ind w:firstLine="5040"/>
        <w:jc w:val="center"/>
        <w:rPr>
          <w:rFonts w:ascii="Calibri" w:hAnsi="Calibri" w:cs="Calibri"/>
        </w:rPr>
      </w:pPr>
    </w:p>
    <w:p>
      <w:pPr>
        <w:tabs>
          <w:tab w:val="left" w:pos="5220"/>
        </w:tabs>
        <w:ind w:firstLine="5040"/>
        <w:jc w:val="center"/>
        <w:rPr>
          <w:rFonts w:ascii="Calibri" w:hAnsi="Calibri" w:cs="Calibri"/>
        </w:rPr>
      </w:pPr>
      <w:r>
        <w:rPr>
          <w:rFonts w:hint="default" w:ascii="Calibri" w:hAnsi="Calibri" w:cs="Calibri"/>
          <w:lang w:val="en-IN"/>
        </w:rPr>
        <w:t xml:space="preserve">                   </w:t>
      </w:r>
      <w:r>
        <w:rPr>
          <w:rFonts w:ascii="Calibri" w:hAnsi="Calibri" w:cs="Calibri"/>
        </w:rPr>
        <w:t xml:space="preserve"> (</w:t>
      </w:r>
      <w:r>
        <w:rPr>
          <w:rFonts w:hint="default" w:ascii="Calibri" w:hAnsi="Calibri" w:cs="Calibri"/>
          <w:lang w:val="en-IN"/>
        </w:rPr>
        <w:t>Th. Lokendro Singh</w:t>
      </w:r>
      <w:r>
        <w:rPr>
          <w:rFonts w:ascii="Calibri" w:hAnsi="Calibri" w:cs="Calibri"/>
        </w:rPr>
        <w:t>)</w:t>
      </w:r>
    </w:p>
    <w:p>
      <w:pPr>
        <w:tabs>
          <w:tab w:val="left" w:pos="5220"/>
        </w:tabs>
        <w:ind w:firstLine="4500"/>
        <w:jc w:val="center"/>
        <w:rPr>
          <w:rFonts w:ascii="Calibri" w:hAnsi="Calibri" w:cs="Calibri"/>
        </w:rPr>
      </w:pPr>
      <w:r>
        <w:rPr>
          <w:rFonts w:ascii="Calibri" w:hAnsi="Calibri" w:cs="Calibri"/>
        </w:rPr>
        <w:t xml:space="preserve">                           Divisional Forest Officer</w:t>
      </w:r>
    </w:p>
    <w:p>
      <w:pPr>
        <w:tabs>
          <w:tab w:val="left" w:pos="5220"/>
        </w:tabs>
        <w:ind w:firstLine="3960"/>
        <w:jc w:val="right"/>
        <w:rPr>
          <w:rFonts w:ascii="Calibri" w:hAnsi="Calibri" w:cs="Calibri"/>
        </w:rPr>
      </w:pPr>
      <w:r>
        <w:rPr>
          <w:rFonts w:ascii="Calibri" w:hAnsi="Calibri" w:cs="Calibri"/>
        </w:rPr>
        <w:t xml:space="preserve">   Thoubal Forest Division, Thoubal</w:t>
      </w:r>
    </w:p>
    <w:p/>
    <w:p/>
    <w:p/>
    <w:p/>
    <w:p/>
    <w:p/>
    <w:p/>
    <w:p/>
    <w:p/>
    <w:p>
      <w:pPr>
        <w:jc w:val="center"/>
        <w:rPr>
          <w:b/>
        </w:rPr>
      </w:pPr>
      <w:r>
        <w:rPr>
          <w:b/>
        </w:rPr>
        <w:t>GOVERNMENT OF MANIPUR</w:t>
      </w:r>
    </w:p>
    <w:p>
      <w:pPr>
        <w:jc w:val="center"/>
        <w:rPr>
          <w:b/>
        </w:rPr>
      </w:pPr>
      <w:r>
        <w:rPr>
          <w:b/>
        </w:rPr>
        <w:t>OFFICE OF THE DIVISIONAL FOREST OFFICER</w:t>
      </w:r>
    </w:p>
    <w:p>
      <w:pPr>
        <w:jc w:val="center"/>
        <w:rPr>
          <w:b/>
        </w:rPr>
      </w:pPr>
      <w:r>
        <w:rPr>
          <w:b/>
        </w:rPr>
        <w:t>THOUBAL FOREST DIVISION</w:t>
      </w:r>
    </w:p>
    <w:p>
      <w:pPr>
        <w:jc w:val="center"/>
        <w:rPr>
          <w:b/>
        </w:rPr>
      </w:pPr>
    </w:p>
    <w:p>
      <w:pPr>
        <w:jc w:val="center"/>
        <w:rPr>
          <w:rFonts w:hint="default"/>
          <w:b/>
          <w:i/>
          <w:lang w:val="en-IN"/>
        </w:rPr>
      </w:pPr>
      <w:r>
        <w:rPr>
          <w:b/>
        </w:rPr>
        <w:t xml:space="preserve">Terms and conditions of the auction sale of the standing trees </w:t>
      </w:r>
      <w:r>
        <w:rPr>
          <w:b/>
          <w:i/>
        </w:rPr>
        <w:t>vide auction notice no.4/31/2020/DFO/TBL dated</w:t>
      </w:r>
      <w:r>
        <w:rPr>
          <w:rFonts w:hint="default"/>
          <w:b/>
          <w:i/>
          <w:lang w:val="en-IN"/>
        </w:rPr>
        <w:t xml:space="preserve"> 25</w:t>
      </w:r>
      <w:r>
        <w:rPr>
          <w:b/>
          <w:i/>
        </w:rPr>
        <w:t>/</w:t>
      </w:r>
      <w:r>
        <w:rPr>
          <w:rFonts w:hint="default"/>
          <w:b/>
          <w:i/>
          <w:lang w:val="en-IN"/>
        </w:rPr>
        <w:t>11</w:t>
      </w:r>
      <w:r>
        <w:rPr>
          <w:b/>
          <w:i/>
        </w:rPr>
        <w:t>/202</w:t>
      </w:r>
      <w:r>
        <w:rPr>
          <w:rFonts w:hint="default"/>
          <w:b/>
          <w:i/>
          <w:lang w:val="en-IN"/>
        </w:rPr>
        <w:t>2</w:t>
      </w:r>
    </w:p>
    <w:p>
      <w:pPr>
        <w:jc w:val="both"/>
        <w:rPr>
          <w:b/>
          <w:i/>
        </w:rPr>
      </w:pPr>
    </w:p>
    <w:p>
      <w:pPr>
        <w:pStyle w:val="6"/>
        <w:numPr>
          <w:ilvl w:val="0"/>
          <w:numId w:val="2"/>
        </w:numPr>
        <w:spacing w:after="0" w:line="240" w:lineRule="auto"/>
        <w:ind w:left="284" w:hanging="284"/>
        <w:jc w:val="both"/>
        <w:rPr>
          <w:sz w:val="24"/>
          <w:szCs w:val="24"/>
        </w:rPr>
      </w:pPr>
      <w:r>
        <w:rPr>
          <w:sz w:val="24"/>
          <w:szCs w:val="24"/>
        </w:rPr>
        <w:t xml:space="preserve">Any registered Forest Contractors/HPC cleared Saw Mill located within approved MIEs/Wood based Units/Individuals may join the e-auction sale. </w:t>
      </w:r>
    </w:p>
    <w:p>
      <w:pPr>
        <w:pStyle w:val="6"/>
        <w:numPr>
          <w:ilvl w:val="0"/>
          <w:numId w:val="2"/>
        </w:numPr>
        <w:spacing w:after="0" w:line="240" w:lineRule="auto"/>
        <w:ind w:left="284" w:hanging="284"/>
        <w:jc w:val="both"/>
        <w:rPr>
          <w:sz w:val="24"/>
          <w:szCs w:val="24"/>
        </w:rPr>
      </w:pPr>
      <w:r>
        <w:rPr>
          <w:sz w:val="24"/>
          <w:szCs w:val="24"/>
        </w:rPr>
        <w:t xml:space="preserve">The intending bidders may register at the Forest Department portal forest.manipurforest.gov.in for participating in the auction sale and bid till 5.00 pm of </w:t>
      </w:r>
      <w:r>
        <w:rPr>
          <w:rFonts w:hint="default"/>
          <w:sz w:val="24"/>
          <w:szCs w:val="24"/>
          <w:lang w:val="en-IN"/>
        </w:rPr>
        <w:t>01</w:t>
      </w:r>
      <w:r>
        <w:rPr>
          <w:sz w:val="24"/>
          <w:szCs w:val="24"/>
        </w:rPr>
        <w:t>.</w:t>
      </w:r>
      <w:r>
        <w:rPr>
          <w:rFonts w:hint="default"/>
          <w:sz w:val="24"/>
          <w:szCs w:val="24"/>
          <w:lang w:val="en-IN"/>
        </w:rPr>
        <w:t>12</w:t>
      </w:r>
      <w:r>
        <w:rPr>
          <w:sz w:val="24"/>
          <w:szCs w:val="24"/>
        </w:rPr>
        <w:t>.202</w:t>
      </w:r>
      <w:r>
        <w:rPr>
          <w:rFonts w:hint="default"/>
          <w:sz w:val="24"/>
          <w:szCs w:val="24"/>
          <w:lang w:val="en-IN"/>
        </w:rPr>
        <w:t>2</w:t>
      </w:r>
      <w:r>
        <w:rPr>
          <w:sz w:val="24"/>
          <w:szCs w:val="24"/>
        </w:rPr>
        <w:t xml:space="preserve">.   </w:t>
      </w:r>
    </w:p>
    <w:p>
      <w:pPr>
        <w:pStyle w:val="6"/>
        <w:numPr>
          <w:ilvl w:val="0"/>
          <w:numId w:val="2"/>
        </w:numPr>
        <w:spacing w:after="0" w:line="240" w:lineRule="auto"/>
        <w:ind w:left="284" w:hanging="284"/>
        <w:jc w:val="both"/>
        <w:rPr>
          <w:sz w:val="24"/>
          <w:szCs w:val="24"/>
        </w:rPr>
      </w:pPr>
      <w:r>
        <w:rPr>
          <w:sz w:val="24"/>
          <w:szCs w:val="24"/>
        </w:rPr>
        <w:t>The Intending bidders may inspect the logs and get themselves satisfied of the quality and quantity of logs before joining the auction. No complaint on the quality and quantity of the logs after finalization of the auction sale shall be entertained. Details of logs can be seen from the notice board.</w:t>
      </w:r>
    </w:p>
    <w:p>
      <w:pPr>
        <w:pStyle w:val="6"/>
        <w:numPr>
          <w:ilvl w:val="0"/>
          <w:numId w:val="2"/>
        </w:numPr>
        <w:spacing w:after="0" w:line="240" w:lineRule="auto"/>
        <w:ind w:left="284" w:hanging="284"/>
        <w:jc w:val="both"/>
        <w:rPr>
          <w:sz w:val="24"/>
          <w:szCs w:val="24"/>
        </w:rPr>
      </w:pPr>
      <w:r>
        <w:rPr>
          <w:sz w:val="24"/>
          <w:szCs w:val="24"/>
        </w:rPr>
        <w:t>The intending bidders shall deposit Earnest Money @ 5% of the value of the floor price of  the</w:t>
      </w:r>
      <w:r>
        <w:rPr>
          <w:rFonts w:hint="default"/>
          <w:sz w:val="24"/>
          <w:szCs w:val="24"/>
          <w:lang w:val="en-IN"/>
        </w:rPr>
        <w:t xml:space="preserve"> Lot</w:t>
      </w:r>
      <w:r>
        <w:rPr>
          <w:sz w:val="24"/>
          <w:szCs w:val="24"/>
        </w:rPr>
        <w:t xml:space="preserve"> they are interested to bid in the form of D-at-Call/Banker’s cheque from any Scheduled Bank drawn in favour of DFO/Thoubal Forest Division, Manipur or in Cash to the O/o DFO, Thoubal for joining the e-auction sale.</w:t>
      </w:r>
    </w:p>
    <w:p>
      <w:pPr>
        <w:pStyle w:val="6"/>
        <w:numPr>
          <w:ilvl w:val="0"/>
          <w:numId w:val="2"/>
        </w:numPr>
        <w:spacing w:after="0" w:line="240" w:lineRule="auto"/>
        <w:ind w:left="284" w:hanging="284"/>
        <w:jc w:val="both"/>
        <w:rPr>
          <w:sz w:val="24"/>
          <w:szCs w:val="24"/>
        </w:rPr>
      </w:pPr>
      <w:r>
        <w:rPr>
          <w:sz w:val="24"/>
          <w:szCs w:val="24"/>
        </w:rPr>
        <w:t>The Earnest Money deposited shall be refunded after finalization of the auction sale or may be forfeited to the Government if the terms and conditions of the auction sale are violated.</w:t>
      </w:r>
    </w:p>
    <w:p>
      <w:pPr>
        <w:pStyle w:val="6"/>
        <w:numPr>
          <w:ilvl w:val="0"/>
          <w:numId w:val="2"/>
        </w:numPr>
        <w:ind w:left="284" w:hanging="284"/>
        <w:jc w:val="both"/>
        <w:rPr>
          <w:sz w:val="24"/>
          <w:szCs w:val="24"/>
        </w:rPr>
      </w:pPr>
      <w:r>
        <w:rPr>
          <w:sz w:val="24"/>
          <w:szCs w:val="24"/>
        </w:rPr>
        <w:t>Amount once bided cannot be withdrawn. In case of withdrawal, the Earnest Money Deposited will be forfeited to the government.</w:t>
      </w:r>
    </w:p>
    <w:p>
      <w:pPr>
        <w:pStyle w:val="6"/>
        <w:ind w:left="284" w:hanging="284"/>
        <w:jc w:val="both"/>
        <w:rPr>
          <w:sz w:val="24"/>
          <w:szCs w:val="24"/>
        </w:rPr>
      </w:pPr>
      <w:r>
        <w:rPr>
          <w:sz w:val="24"/>
          <w:szCs w:val="24"/>
        </w:rPr>
        <w:t>7. The timber shall be for consumption within the State of Manipur only and no permit for transportation of the timber in log or Sawn form outside the State shall be granted.</w:t>
      </w:r>
    </w:p>
    <w:p>
      <w:pPr>
        <w:pStyle w:val="6"/>
        <w:ind w:left="284" w:hanging="284"/>
        <w:jc w:val="both"/>
        <w:rPr>
          <w:sz w:val="24"/>
          <w:szCs w:val="24"/>
        </w:rPr>
      </w:pPr>
      <w:r>
        <w:rPr>
          <w:sz w:val="24"/>
          <w:szCs w:val="24"/>
        </w:rPr>
        <w:t>8.</w:t>
      </w:r>
      <w:r>
        <w:rPr>
          <w:sz w:val="24"/>
          <w:szCs w:val="24"/>
        </w:rPr>
        <w:tab/>
      </w:r>
      <w:r>
        <w:rPr>
          <w:sz w:val="24"/>
          <w:szCs w:val="24"/>
        </w:rPr>
        <w:t>The successful bidders shall deposit the bid amount along with taxes to the Division Office within 5 (five) days of the approval of rate by the competent authority, failing which, the EM will be forfeited to the Government.</w:t>
      </w:r>
    </w:p>
    <w:p>
      <w:pPr>
        <w:pStyle w:val="6"/>
        <w:ind w:left="284" w:hanging="284"/>
        <w:jc w:val="both"/>
        <w:rPr>
          <w:sz w:val="24"/>
          <w:szCs w:val="24"/>
        </w:rPr>
      </w:pPr>
      <w:r>
        <w:rPr>
          <w:sz w:val="24"/>
          <w:szCs w:val="24"/>
        </w:rPr>
        <w:t>9. The Divisional Forest officer, Thoubal Forest Division, Thoubal reserves the rights not to accept or reject any tender/bid without assigning any reason thereof.</w:t>
      </w:r>
    </w:p>
    <w:p>
      <w:pPr>
        <w:pStyle w:val="6"/>
        <w:ind w:left="284" w:hanging="284"/>
        <w:jc w:val="both"/>
        <w:rPr>
          <w:sz w:val="24"/>
          <w:szCs w:val="24"/>
        </w:rPr>
      </w:pPr>
      <w:r>
        <w:rPr>
          <w:sz w:val="24"/>
          <w:szCs w:val="24"/>
        </w:rPr>
        <w:t>10. Acceptance of the bid amount will be subject to the approval of the appropriate authority of the Forest Department, Manipur.</w:t>
      </w:r>
    </w:p>
    <w:p>
      <w:pPr>
        <w:pStyle w:val="6"/>
        <w:ind w:left="284" w:hanging="284"/>
        <w:jc w:val="both"/>
        <w:rPr>
          <w:sz w:val="24"/>
          <w:szCs w:val="24"/>
        </w:rPr>
      </w:pPr>
      <w:r>
        <w:rPr>
          <w:sz w:val="24"/>
          <w:szCs w:val="24"/>
        </w:rPr>
        <w:t>11. In case of any dispute, the decision of the Conservator of Forests Central circle, Government of Manipur shall be final and binding to all the parties.</w:t>
      </w:r>
    </w:p>
    <w:p>
      <w:pPr>
        <w:pStyle w:val="6"/>
        <w:ind w:left="284" w:hanging="284"/>
        <w:rPr>
          <w:sz w:val="24"/>
          <w:szCs w:val="24"/>
        </w:rPr>
      </w:pPr>
    </w:p>
    <w:p>
      <w:pPr>
        <w:pStyle w:val="6"/>
        <w:ind w:left="284" w:hanging="284"/>
        <w:rPr>
          <w:sz w:val="24"/>
          <w:szCs w:val="24"/>
        </w:rPr>
      </w:pPr>
    </w:p>
    <w:p>
      <w:pPr>
        <w:pStyle w:val="6"/>
        <w:spacing w:after="0" w:line="240" w:lineRule="auto"/>
        <w:ind w:left="284" w:hanging="284"/>
        <w:rPr>
          <w:sz w:val="24"/>
          <w:szCs w:val="24"/>
        </w:rPr>
      </w:pPr>
      <w:r>
        <w:rPr>
          <w:sz w:val="24"/>
          <w:szCs w:val="24"/>
        </w:rPr>
        <w:t xml:space="preserve">                                                                                        </w:t>
      </w:r>
    </w:p>
    <w:p>
      <w:pPr>
        <w:pStyle w:val="6"/>
        <w:spacing w:after="0" w:line="240" w:lineRule="auto"/>
        <w:ind w:left="284" w:firstLine="2868" w:firstLineChars="0"/>
        <w:jc w:val="center"/>
        <w:rPr>
          <w:sz w:val="24"/>
          <w:szCs w:val="24"/>
        </w:rPr>
      </w:pPr>
    </w:p>
    <w:p>
      <w:pPr>
        <w:pStyle w:val="6"/>
        <w:spacing w:after="0" w:line="240" w:lineRule="auto"/>
        <w:ind w:left="284" w:firstLine="2868" w:firstLineChars="0"/>
        <w:jc w:val="center"/>
        <w:rPr>
          <w:sz w:val="24"/>
          <w:szCs w:val="24"/>
        </w:rPr>
      </w:pPr>
      <w:r>
        <w:rPr>
          <w:sz w:val="24"/>
          <w:szCs w:val="24"/>
        </w:rPr>
        <w:t>(</w:t>
      </w:r>
      <w:r>
        <w:rPr>
          <w:rFonts w:hint="default"/>
          <w:sz w:val="24"/>
          <w:szCs w:val="24"/>
          <w:lang w:val="en-IN"/>
        </w:rPr>
        <w:t>Th. Lokendro Singh</w:t>
      </w:r>
      <w:r>
        <w:rPr>
          <w:sz w:val="24"/>
          <w:szCs w:val="24"/>
        </w:rPr>
        <w:t>)</w:t>
      </w:r>
    </w:p>
    <w:p>
      <w:pPr>
        <w:pStyle w:val="6"/>
        <w:spacing w:after="0" w:line="240" w:lineRule="auto"/>
        <w:ind w:left="284" w:hanging="284"/>
        <w:rPr>
          <w:sz w:val="24"/>
          <w:szCs w:val="24"/>
        </w:rPr>
      </w:pPr>
      <w:r>
        <w:rPr>
          <w:sz w:val="24"/>
          <w:szCs w:val="24"/>
        </w:rPr>
        <w:t xml:space="preserve">                                                                       </w:t>
      </w:r>
      <w:r>
        <w:rPr>
          <w:rFonts w:hint="default"/>
          <w:sz w:val="24"/>
          <w:szCs w:val="24"/>
          <w:lang w:val="en-IN"/>
        </w:rPr>
        <w:t xml:space="preserve">                   </w:t>
      </w:r>
      <w:r>
        <w:rPr>
          <w:sz w:val="24"/>
          <w:szCs w:val="24"/>
        </w:rPr>
        <w:t xml:space="preserve"> Divisional Forest Officer</w:t>
      </w:r>
    </w:p>
    <w:p>
      <w:pPr>
        <w:pStyle w:val="6"/>
        <w:spacing w:after="0" w:line="240" w:lineRule="auto"/>
        <w:ind w:left="284" w:hanging="284"/>
        <w:rPr>
          <w:sz w:val="24"/>
          <w:szCs w:val="24"/>
        </w:rPr>
      </w:pPr>
      <w:r>
        <w:rPr>
          <w:sz w:val="24"/>
          <w:szCs w:val="24"/>
        </w:rPr>
        <w:t xml:space="preserve">                                                                                Thoubal Forest Division, Thoubal</w:t>
      </w:r>
    </w:p>
    <w:p>
      <w:pPr>
        <w:pStyle w:val="6"/>
        <w:spacing w:after="0" w:line="240" w:lineRule="auto"/>
        <w:ind w:left="284" w:hanging="284"/>
        <w:rPr>
          <w:sz w:val="24"/>
          <w:szCs w:val="24"/>
        </w:rPr>
      </w:pPr>
    </w:p>
    <w:p>
      <w:pPr>
        <w:jc w:val="both"/>
        <w:rPr>
          <w:b/>
        </w:rPr>
      </w:pPr>
    </w:p>
    <w:p>
      <w:pPr>
        <w:jc w:val="center"/>
        <w:rPr>
          <w:b/>
        </w:rPr>
      </w:pPr>
    </w:p>
    <w:p>
      <w:pPr>
        <w:jc w:val="center"/>
        <w:rPr>
          <w:b/>
        </w:rPr>
      </w:pPr>
      <w:r>
        <w:rPr>
          <w:b/>
        </w:rPr>
        <w:t>GOVERNMENT OF MANIPUR</w:t>
      </w:r>
    </w:p>
    <w:p>
      <w:pPr>
        <w:jc w:val="center"/>
        <w:rPr>
          <w:b/>
        </w:rPr>
      </w:pPr>
      <w:r>
        <w:rPr>
          <w:b/>
        </w:rPr>
        <w:t>OFFICE OF THE DIVISIONAL FOREST OFFICER</w:t>
      </w:r>
    </w:p>
    <w:p>
      <w:pPr>
        <w:jc w:val="center"/>
        <w:rPr>
          <w:b/>
        </w:rPr>
      </w:pPr>
      <w:r>
        <w:rPr>
          <w:b/>
        </w:rPr>
        <w:t>THOUBAL FOREST DIVISION</w:t>
      </w:r>
    </w:p>
    <w:p>
      <w:pPr>
        <w:jc w:val="center"/>
        <w:rPr>
          <w:b/>
        </w:rPr>
      </w:pPr>
    </w:p>
    <w:p>
      <w:pPr>
        <w:jc w:val="center"/>
        <w:rPr>
          <w:rFonts w:hint="default"/>
          <w:b/>
          <w:i/>
          <w:lang w:val="en-IN"/>
        </w:rPr>
      </w:pPr>
      <w:r>
        <w:rPr>
          <w:b/>
        </w:rPr>
        <w:t>Details</w:t>
      </w:r>
      <w:r>
        <w:rPr>
          <w:rFonts w:hint="default"/>
          <w:b/>
          <w:lang w:val="en-IN"/>
        </w:rPr>
        <w:t xml:space="preserve"> of </w:t>
      </w:r>
      <w:r>
        <w:rPr>
          <w:b/>
        </w:rPr>
        <w:t xml:space="preserve">the </w:t>
      </w:r>
      <w:r>
        <w:rPr>
          <w:rFonts w:hint="default"/>
          <w:b/>
          <w:lang w:val="en-IN"/>
        </w:rPr>
        <w:t>seized</w:t>
      </w:r>
      <w:r>
        <w:rPr>
          <w:b/>
        </w:rPr>
        <w:t xml:space="preserve"> </w:t>
      </w:r>
      <w:r>
        <w:rPr>
          <w:rFonts w:hint="default"/>
          <w:b/>
          <w:lang w:val="en-IN"/>
        </w:rPr>
        <w:t>timber</w:t>
      </w:r>
      <w:r>
        <w:rPr>
          <w:b/>
        </w:rPr>
        <w:t xml:space="preserve"> </w:t>
      </w:r>
      <w:r>
        <w:rPr>
          <w:rFonts w:hint="default"/>
          <w:b/>
          <w:lang w:val="en-IN"/>
        </w:rPr>
        <w:t>for</w:t>
      </w:r>
      <w:r>
        <w:rPr>
          <w:b/>
        </w:rPr>
        <w:t xml:space="preserve"> the auction sale  </w:t>
      </w:r>
      <w:r>
        <w:rPr>
          <w:b/>
          <w:i/>
        </w:rPr>
        <w:t xml:space="preserve">vide auction notice no.4/31/2020/DFO/TBL dated </w:t>
      </w:r>
      <w:r>
        <w:rPr>
          <w:rFonts w:hint="default"/>
          <w:b/>
          <w:i/>
          <w:lang w:val="en-IN"/>
        </w:rPr>
        <w:t>25</w:t>
      </w:r>
      <w:r>
        <w:rPr>
          <w:b/>
          <w:i/>
        </w:rPr>
        <w:t>/</w:t>
      </w:r>
      <w:r>
        <w:rPr>
          <w:rFonts w:hint="default"/>
          <w:b/>
          <w:i/>
          <w:lang w:val="en-IN"/>
        </w:rPr>
        <w:t>11</w:t>
      </w:r>
      <w:r>
        <w:rPr>
          <w:b/>
          <w:i/>
        </w:rPr>
        <w:t>/202</w:t>
      </w:r>
      <w:r>
        <w:rPr>
          <w:rFonts w:hint="default"/>
          <w:b/>
          <w:i/>
          <w:lang w:val="en-IN"/>
        </w:rPr>
        <w:t>2</w:t>
      </w:r>
    </w:p>
    <w:p>
      <w:pPr>
        <w:pStyle w:val="6"/>
        <w:spacing w:after="0" w:line="240" w:lineRule="auto"/>
        <w:ind w:left="284" w:hanging="284"/>
        <w:rPr>
          <w:sz w:val="24"/>
          <w:szCs w:val="24"/>
        </w:rPr>
      </w:pPr>
    </w:p>
    <w:p/>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963"/>
        <w:gridCol w:w="1612"/>
        <w:gridCol w:w="1564"/>
        <w:gridCol w:w="2102"/>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92" w:type="dxa"/>
            <w:tcBorders>
              <w:top w:val="single" w:color="auto" w:sz="4" w:space="0"/>
              <w:left w:val="single" w:color="auto" w:sz="4" w:space="0"/>
              <w:bottom w:val="single" w:color="auto" w:sz="4" w:space="0"/>
              <w:right w:val="single" w:color="auto" w:sz="4" w:space="0"/>
            </w:tcBorders>
          </w:tcPr>
          <w:p>
            <w:r>
              <w:t>Sl. No</w:t>
            </w:r>
          </w:p>
        </w:tc>
        <w:tc>
          <w:tcPr>
            <w:tcW w:w="1047" w:type="dxa"/>
            <w:tcBorders>
              <w:top w:val="single" w:color="auto" w:sz="4" w:space="0"/>
              <w:left w:val="single" w:color="auto" w:sz="4" w:space="0"/>
              <w:bottom w:val="single" w:color="auto" w:sz="4" w:space="0"/>
              <w:right w:val="single" w:color="auto" w:sz="4" w:space="0"/>
            </w:tcBorders>
          </w:tcPr>
          <w:p>
            <w:r>
              <w:t>Lot no.</w:t>
            </w:r>
          </w:p>
        </w:tc>
        <w:tc>
          <w:tcPr>
            <w:tcW w:w="1728" w:type="dxa"/>
            <w:tcBorders>
              <w:top w:val="single" w:color="auto" w:sz="4" w:space="0"/>
              <w:left w:val="single" w:color="auto" w:sz="4" w:space="0"/>
              <w:bottom w:val="single" w:color="auto" w:sz="4" w:space="0"/>
              <w:right w:val="single" w:color="auto" w:sz="4" w:space="0"/>
            </w:tcBorders>
          </w:tcPr>
          <w:p>
            <w:pPr>
              <w:rPr>
                <w:rFonts w:hint="default"/>
                <w:lang w:val="en-IN"/>
              </w:rPr>
            </w:pPr>
            <w:r>
              <w:t>Species</w:t>
            </w:r>
            <w:r>
              <w:rPr>
                <w:rFonts w:hint="default"/>
                <w:lang w:val="en-IN"/>
              </w:rPr>
              <w:t xml:space="preserve"> </w:t>
            </w:r>
          </w:p>
        </w:tc>
        <w:tc>
          <w:tcPr>
            <w:tcW w:w="1740"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No. Of Logs</w:t>
            </w:r>
          </w:p>
        </w:tc>
        <w:tc>
          <w:tcPr>
            <w:tcW w:w="2328" w:type="dxa"/>
            <w:tcBorders>
              <w:top w:val="single" w:color="auto" w:sz="4" w:space="0"/>
              <w:left w:val="single" w:color="auto" w:sz="4" w:space="0"/>
              <w:bottom w:val="single" w:color="auto" w:sz="4" w:space="0"/>
              <w:right w:val="single" w:color="auto" w:sz="4" w:space="0"/>
            </w:tcBorders>
          </w:tcPr>
          <w:p>
            <w:r>
              <w:rPr>
                <w:rFonts w:hint="default"/>
                <w:lang w:val="en-IN"/>
              </w:rPr>
              <w:t>Timber</w:t>
            </w:r>
            <w:r>
              <w:t xml:space="preserve"> Volume (cft)</w:t>
            </w:r>
          </w:p>
        </w:tc>
        <w:tc>
          <w:tcPr>
            <w:tcW w:w="1803" w:type="dxa"/>
            <w:tcBorders>
              <w:top w:val="single" w:color="auto" w:sz="4" w:space="0"/>
              <w:left w:val="single" w:color="auto" w:sz="4" w:space="0"/>
              <w:bottom w:val="single" w:color="auto" w:sz="4" w:space="0"/>
              <w:right w:val="single" w:color="auto" w:sz="4" w:space="0"/>
            </w:tcBorders>
          </w:tcPr>
          <w:p>
            <w:r>
              <w:t>Floor price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92"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1</w:t>
            </w:r>
          </w:p>
        </w:tc>
        <w:tc>
          <w:tcPr>
            <w:tcW w:w="1047"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1</w:t>
            </w:r>
          </w:p>
        </w:tc>
        <w:tc>
          <w:tcPr>
            <w:tcW w:w="1728"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 xml:space="preserve">Khangra </w:t>
            </w:r>
          </w:p>
        </w:tc>
        <w:tc>
          <w:tcPr>
            <w:tcW w:w="1740"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32</w:t>
            </w:r>
          </w:p>
        </w:tc>
        <w:tc>
          <w:tcPr>
            <w:tcW w:w="2328"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291.20</w:t>
            </w:r>
          </w:p>
        </w:tc>
        <w:tc>
          <w:tcPr>
            <w:tcW w:w="1803"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1,54,630/-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92"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2</w:t>
            </w:r>
          </w:p>
        </w:tc>
        <w:tc>
          <w:tcPr>
            <w:tcW w:w="1047"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2</w:t>
            </w:r>
          </w:p>
        </w:tc>
        <w:tc>
          <w:tcPr>
            <w:tcW w:w="1728"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Khangra</w:t>
            </w:r>
          </w:p>
        </w:tc>
        <w:tc>
          <w:tcPr>
            <w:tcW w:w="1740"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24</w:t>
            </w:r>
          </w:p>
        </w:tc>
        <w:tc>
          <w:tcPr>
            <w:tcW w:w="2328"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141.35</w:t>
            </w:r>
          </w:p>
        </w:tc>
        <w:tc>
          <w:tcPr>
            <w:tcW w:w="1803"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75,060/-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92"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3</w:t>
            </w:r>
          </w:p>
        </w:tc>
        <w:tc>
          <w:tcPr>
            <w:tcW w:w="1047"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3</w:t>
            </w:r>
          </w:p>
        </w:tc>
        <w:tc>
          <w:tcPr>
            <w:tcW w:w="1728"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Tolhao &amp; Tal</w:t>
            </w:r>
          </w:p>
        </w:tc>
        <w:tc>
          <w:tcPr>
            <w:tcW w:w="1740"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28</w:t>
            </w:r>
          </w:p>
        </w:tc>
        <w:tc>
          <w:tcPr>
            <w:tcW w:w="2328"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261.02</w:t>
            </w:r>
          </w:p>
        </w:tc>
        <w:tc>
          <w:tcPr>
            <w:tcW w:w="1803"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1,25,810/-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92"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4</w:t>
            </w:r>
          </w:p>
        </w:tc>
        <w:tc>
          <w:tcPr>
            <w:tcW w:w="1047"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4</w:t>
            </w:r>
          </w:p>
        </w:tc>
        <w:tc>
          <w:tcPr>
            <w:tcW w:w="1728"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Leihao</w:t>
            </w:r>
          </w:p>
        </w:tc>
        <w:tc>
          <w:tcPr>
            <w:tcW w:w="1740"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15</w:t>
            </w:r>
          </w:p>
        </w:tc>
        <w:tc>
          <w:tcPr>
            <w:tcW w:w="2328"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119.56</w:t>
            </w:r>
          </w:p>
        </w:tc>
        <w:tc>
          <w:tcPr>
            <w:tcW w:w="1803"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63,490/-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367" w:type="dxa"/>
            <w:gridSpan w:val="3"/>
            <w:tcBorders>
              <w:top w:val="single" w:color="auto" w:sz="4" w:space="0"/>
              <w:left w:val="single" w:color="auto" w:sz="4" w:space="0"/>
              <w:bottom w:val="single" w:color="auto" w:sz="4" w:space="0"/>
              <w:right w:val="single" w:color="auto" w:sz="4" w:space="0"/>
            </w:tcBorders>
          </w:tcPr>
          <w:p>
            <w:pPr>
              <w:jc w:val="right"/>
              <w:rPr>
                <w:rFonts w:hint="default"/>
                <w:b/>
                <w:bCs/>
                <w:lang w:val="en-IN"/>
              </w:rPr>
            </w:pPr>
            <w:r>
              <w:rPr>
                <w:rFonts w:hint="default"/>
                <w:b/>
                <w:bCs/>
                <w:lang w:val="en-IN"/>
              </w:rPr>
              <w:t>Total:</w:t>
            </w:r>
          </w:p>
        </w:tc>
        <w:tc>
          <w:tcPr>
            <w:tcW w:w="1740" w:type="dxa"/>
            <w:tcBorders>
              <w:top w:val="single" w:color="auto" w:sz="4" w:space="0"/>
              <w:left w:val="single" w:color="auto" w:sz="4" w:space="0"/>
              <w:bottom w:val="single" w:color="auto" w:sz="4" w:space="0"/>
              <w:right w:val="single" w:color="auto" w:sz="4" w:space="0"/>
            </w:tcBorders>
          </w:tcPr>
          <w:p>
            <w:pPr>
              <w:rPr>
                <w:rFonts w:hint="default"/>
                <w:b/>
                <w:bCs/>
                <w:lang w:val="en-IN"/>
              </w:rPr>
            </w:pPr>
            <w:r>
              <w:rPr>
                <w:rFonts w:hint="default"/>
                <w:b/>
                <w:bCs/>
                <w:lang w:val="en-IN"/>
              </w:rPr>
              <w:t>99</w:t>
            </w:r>
          </w:p>
        </w:tc>
        <w:tc>
          <w:tcPr>
            <w:tcW w:w="2328" w:type="dxa"/>
            <w:tcBorders>
              <w:top w:val="single" w:color="auto" w:sz="4" w:space="0"/>
              <w:left w:val="single" w:color="auto" w:sz="4" w:space="0"/>
              <w:bottom w:val="single" w:color="auto" w:sz="4" w:space="0"/>
              <w:right w:val="single" w:color="auto" w:sz="4" w:space="0"/>
            </w:tcBorders>
          </w:tcPr>
          <w:p>
            <w:pPr>
              <w:rPr>
                <w:rFonts w:hint="default"/>
                <w:b/>
                <w:bCs/>
                <w:lang w:val="en-IN"/>
              </w:rPr>
            </w:pPr>
            <w:r>
              <w:rPr>
                <w:rFonts w:hint="default"/>
                <w:b/>
                <w:bCs/>
                <w:lang w:val="en-IN"/>
              </w:rPr>
              <w:t>813.13</w:t>
            </w:r>
          </w:p>
        </w:tc>
        <w:tc>
          <w:tcPr>
            <w:tcW w:w="1803" w:type="dxa"/>
            <w:tcBorders>
              <w:top w:val="single" w:color="auto" w:sz="4" w:space="0"/>
              <w:left w:val="single" w:color="auto" w:sz="4" w:space="0"/>
              <w:bottom w:val="single" w:color="auto" w:sz="4" w:space="0"/>
              <w:right w:val="single" w:color="auto" w:sz="4" w:space="0"/>
            </w:tcBorders>
          </w:tcPr>
          <w:p>
            <w:pPr>
              <w:rPr>
                <w:rFonts w:hint="default"/>
                <w:b/>
                <w:bCs/>
                <w:lang w:val="en-IN"/>
              </w:rPr>
            </w:pPr>
            <w:r>
              <w:rPr>
                <w:rFonts w:hint="default"/>
                <w:b/>
                <w:bCs/>
                <w:lang w:val="en-IN"/>
              </w:rPr>
              <w:t>418,990/-</w:t>
            </w:r>
          </w:p>
        </w:tc>
      </w:tr>
    </w:tbl>
    <w:p/>
    <w:p/>
    <w:p/>
    <w:p/>
    <w:p/>
    <w:p/>
    <w:p/>
    <w:p/>
    <w:p/>
    <w:p>
      <w:pPr>
        <w:pStyle w:val="6"/>
        <w:spacing w:after="0" w:line="240" w:lineRule="auto"/>
        <w:ind w:left="284" w:hanging="284"/>
        <w:jc w:val="center"/>
        <w:rPr>
          <w:sz w:val="24"/>
          <w:szCs w:val="24"/>
        </w:rPr>
      </w:pPr>
      <w:r>
        <w:t xml:space="preserve">                                                              (</w:t>
      </w:r>
      <w:r>
        <w:rPr>
          <w:rFonts w:hint="default"/>
          <w:sz w:val="24"/>
          <w:szCs w:val="24"/>
          <w:lang w:val="en-IN"/>
        </w:rPr>
        <w:t>Th. Lokendro SIngh</w:t>
      </w:r>
      <w:r>
        <w:rPr>
          <w:sz w:val="24"/>
          <w:szCs w:val="24"/>
        </w:rPr>
        <w:t>)</w:t>
      </w:r>
    </w:p>
    <w:p>
      <w:pPr>
        <w:pStyle w:val="6"/>
        <w:spacing w:after="0" w:line="240" w:lineRule="auto"/>
        <w:ind w:left="284" w:hanging="284"/>
        <w:rPr>
          <w:sz w:val="24"/>
          <w:szCs w:val="24"/>
        </w:rPr>
      </w:pPr>
      <w:r>
        <w:rPr>
          <w:sz w:val="24"/>
          <w:szCs w:val="24"/>
        </w:rPr>
        <w:t xml:space="preserve">                                                                        </w:t>
      </w:r>
      <w:r>
        <w:rPr>
          <w:rFonts w:hint="default"/>
          <w:sz w:val="24"/>
          <w:szCs w:val="24"/>
          <w:lang w:val="en-IN"/>
        </w:rPr>
        <w:t xml:space="preserve">                </w:t>
      </w:r>
      <w:r>
        <w:rPr>
          <w:sz w:val="24"/>
          <w:szCs w:val="24"/>
        </w:rPr>
        <w:t xml:space="preserve"> Divisional Forest Officer</w:t>
      </w:r>
    </w:p>
    <w:p>
      <w:pPr>
        <w:pStyle w:val="6"/>
        <w:spacing w:after="0" w:line="240" w:lineRule="auto"/>
        <w:ind w:left="284" w:hanging="284"/>
        <w:rPr>
          <w:sz w:val="24"/>
          <w:szCs w:val="24"/>
        </w:rPr>
      </w:pPr>
      <w:r>
        <w:rPr>
          <w:sz w:val="24"/>
          <w:szCs w:val="24"/>
        </w:rPr>
        <w:t xml:space="preserve">                                                                                Thoubal Forest Division, Thoubal</w:t>
      </w:r>
    </w:p>
    <w:p>
      <w:pPr>
        <w:tabs>
          <w:tab w:val="left" w:pos="5220"/>
        </w:tabs>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95B9D"/>
    <w:multiLevelType w:val="multilevel"/>
    <w:tmpl w:val="07295B9D"/>
    <w:lvl w:ilvl="0" w:tentative="0">
      <w:start w:val="1"/>
      <w:numFmt w:val="decimal"/>
      <w:lvlText w:val="%1."/>
      <w:lvlJc w:val="left"/>
      <w:pPr>
        <w:ind w:left="1620" w:hanging="360"/>
      </w:p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1">
    <w:nsid w:val="5A1A54CB"/>
    <w:multiLevelType w:val="multilevel"/>
    <w:tmpl w:val="5A1A54C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80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spacing w:after="200" w:line="276" w:lineRule="auto"/>
      <w:ind w:left="720"/>
      <w:contextualSpacing/>
    </w:pPr>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2022-11-28T07:58:36Z</dcterms:created>
  <dc:creator>hp</dc:creator>
  <cp:lastModifiedBy>hp</cp:lastModifiedBy>
  <dcterms:modified xsi:type="dcterms:W3CDTF">2022-11-28T07:58:43Z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FF71B9C387924C6580942DE1E6E7CC4C</vt:lpwstr>
  </property>
</Properties>
</file>